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d00f8300d494d30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50784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NARODNA KNJIŽNICA I ČITAONICA GUNJA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21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I - IX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26.540,82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42.297,50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159,4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19.176,47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37.658,59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196,4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PRIHODA POSLOVANJA (šifre 6-Z005)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7.364,35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4.638,91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63,0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6.426,31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7.045,52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109,6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6.426,31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7.045,52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109,6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2.406,61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razdoblju od 1. siječnja do 30. rujna 2025. prihodi poslovanja ostvareni su u iznosu od 42.297,50 EUR. Najznačajnije povećanje prihoda poslovanja ostvareno je od prihoda iz nadležnog proračuna za financiranje rashoda i od kapitalnih pomoći proračunskim korisnicima iz proračuna koji im nije nadležan. Najznačajnije smanjenje prihoda poslovanja bilježi se na prihodima tekućih pomoći proračunskim korisnicima iz proračuna koji im nije nadležan.
Rashodi poslovanja u razdoblju od 1. siječnja do 30. rujna 2025. ostvareni su u iznosu od 37.658,59 EUR. Najznačajnije povećanje rashoda evidentirano je na rashodima uslijed povećanja plaća i na ostalim uslugama, koje se odnose na usluge čišćenja poslovnih prostora.
U navedenom razdoblju nema ostvarenih prihoda od prodaje nefinancijske imovine, dok su rashodi za nabavu nefinancijske imovine ostvareni u iznosu od 7.045,52 EUR. Navedeni rashod odnosi se na nabavu knjiga.
U navedenom razdoblju nije bilo ostvarenih primitaka i izdataka od financijske imovine i zaduživanja.
U razdoblju od 1. siječnja do 30. rujna 2025 ostvaren je višak prihoda poslovanja u iznosu od 4.638,91 EUR, manjak prihoda od nefinancijske imovine u iznosu od 7.045,52 EUR, slijedom čega je na kraju izvještajnog razdoblja ostvaren ukupan manjak prihoda i primitaka u iznosu od 2.406,61 EUR.</w:t>
      </w:r>
    </w:p>
    <w:p>
      <w:r>
        <w:br/>
      </w:r>
    </w:p>
  </w:body>
</w:document>
</file>

<file path=word/styles.xml><?xml version="1.0" encoding="utf-8"?>
<w:styles xmlns:w="http://schemas.openxmlformats.org/wordprocessingml/2006/main"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bfa382ca42d465a" /></Relationships>
</file>